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41E7" w14:textId="77777777" w:rsidR="008244C4" w:rsidRDefault="008244C4" w:rsidP="008244C4">
      <w:pPr>
        <w:jc w:val="center"/>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6EB50C84" w14:textId="77777777" w:rsidR="00DF5189" w:rsidRDefault="00DF5189" w:rsidP="00DF5189">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32AE04C3" w14:textId="77777777" w:rsidR="00DF5189" w:rsidRPr="00244138" w:rsidRDefault="00DF5189" w:rsidP="00DF5189">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10/2024</w:t>
      </w:r>
    </w:p>
    <w:tbl>
      <w:tblPr>
        <w:tblStyle w:val="a3"/>
        <w:tblW w:w="0" w:type="auto"/>
        <w:tblLook w:val="04A0" w:firstRow="1" w:lastRow="0" w:firstColumn="1" w:lastColumn="0" w:noHBand="0" w:noVBand="1"/>
      </w:tblPr>
      <w:tblGrid>
        <w:gridCol w:w="7905"/>
        <w:gridCol w:w="2063"/>
      </w:tblGrid>
      <w:tr w:rsidR="008244C4" w14:paraId="75D92817" w14:textId="77777777" w:rsidTr="00A94B46">
        <w:tc>
          <w:tcPr>
            <w:tcW w:w="9968" w:type="dxa"/>
            <w:gridSpan w:val="2"/>
          </w:tcPr>
          <w:p w14:paraId="58F97A64" w14:textId="77777777" w:rsidR="008244C4" w:rsidRPr="00244138" w:rsidRDefault="008244C4" w:rsidP="00A17BE1">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F5189" w14:paraId="4C8DFBA9" w14:textId="77777777" w:rsidTr="000838AB">
        <w:trPr>
          <w:trHeight w:val="1043"/>
        </w:trPr>
        <w:tc>
          <w:tcPr>
            <w:tcW w:w="7905" w:type="dxa"/>
          </w:tcPr>
          <w:p w14:paraId="26E3EB6D" w14:textId="77777777" w:rsidR="00DF5189" w:rsidRPr="006A0D5E" w:rsidRDefault="00DF5189" w:rsidP="007060A6">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BECLOMETASONE NASAL SOLUTION 50mcg "CEO"</w:t>
            </w:r>
          </w:p>
          <w:p w14:paraId="10CB6BD3" w14:textId="77777777" w:rsidR="00DF5189" w:rsidRPr="00507AE7" w:rsidRDefault="00DF5189" w:rsidP="007060A6">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Beclometasone dipropionate</w:t>
            </w:r>
          </w:p>
          <w:p w14:paraId="66F42C1B" w14:textId="77777777" w:rsidR="00DF5189" w:rsidRPr="00507AE7" w:rsidRDefault="00DF5189" w:rsidP="008A4197">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suspension agent of metered-dose system, (cap) lavender</w:t>
            </w:r>
          </w:p>
          <w:p w14:paraId="404CF953" w14:textId="77777777" w:rsidR="00DF5189" w:rsidRPr="00DF5189" w:rsidRDefault="00DF5189" w:rsidP="008A4197">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hint="eastAsia"/>
                <w:sz w:val="20"/>
                <w:szCs w:val="20"/>
              </w:rPr>
              <w:t>ベクロメタゾン点鼻液</w:t>
            </w:r>
            <w:r w:rsidR="008244C4" w:rsidRPr="00507AE7">
              <w:rPr>
                <w:rFonts w:ascii="ＭＳ Ｐ明朝" w:eastAsia="ＭＳ Ｐ明朝" w:hAnsi="ＭＳ Ｐ明朝"/>
                <w:sz w:val="20"/>
                <w:szCs w:val="20"/>
              </w:rPr>
              <w:t>50</w:t>
            </w:r>
            <w:r w:rsidR="008244C4" w:rsidRPr="00507AE7">
              <w:rPr>
                <w:rFonts w:ascii="ＭＳ Ｐ明朝" w:eastAsia="ＭＳ Ｐ明朝" w:hAnsi="ＭＳ Ｐ明朝" w:hint="eastAsia"/>
                <w:sz w:val="20"/>
                <w:szCs w:val="20"/>
              </w:rPr>
              <w:t>μ</w:t>
            </w:r>
            <w:r w:rsidR="008244C4" w:rsidRPr="00507AE7">
              <w:rPr>
                <w:rFonts w:ascii="ＭＳ Ｐ明朝" w:eastAsia="ＭＳ Ｐ明朝" w:hAnsi="ＭＳ Ｐ明朝"/>
                <w:sz w:val="20"/>
                <w:szCs w:val="20"/>
              </w:rPr>
              <w:t>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p>
        </w:tc>
        <w:tc>
          <w:tcPr>
            <w:tcW w:w="2063" w:type="dxa"/>
          </w:tcPr>
          <w:p w14:paraId="6405C61C" w14:textId="77777777" w:rsidR="00DF5189" w:rsidRPr="00244138" w:rsidRDefault="00000000" w:rsidP="00A94B46">
            <w:pPr>
              <w:jc w:val="center"/>
              <w:rPr>
                <w:rFonts w:ascii="Palatino Linotype" w:hAnsi="Palatino Linotype"/>
                <w:sz w:val="20"/>
                <w:szCs w:val="20"/>
              </w:rPr>
            </w:pPr>
            <w:r>
              <w:rPr>
                <w:noProof/>
              </w:rPr>
              <w:drawing>
                <wp:anchor distT="0" distB="0" distL="114300" distR="114300" simplePos="0" relativeHeight="251659264" behindDoc="0" locked="0" layoutInCell="1" allowOverlap="1" wp14:anchorId="47CAA62E" wp14:editId="445615FE">
                  <wp:simplePos x="0" y="0"/>
                  <wp:positionH relativeFrom="column">
                    <wp:posOffset>410845</wp:posOffset>
                  </wp:positionH>
                  <wp:positionV relativeFrom="paragraph">
                    <wp:posOffset>20955</wp:posOffset>
                  </wp:positionV>
                  <wp:extent cx="379730" cy="638810"/>
                  <wp:effectExtent l="0" t="0" r="0" b="0"/>
                  <wp:wrapNone/>
                  <wp:docPr id="3" name="図 1" descr="ピンク色のボトル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ピンク色のボトル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73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244C4" w14:paraId="5B8A0222" w14:textId="77777777" w:rsidTr="00F522D5">
        <w:tc>
          <w:tcPr>
            <w:tcW w:w="9968" w:type="dxa"/>
            <w:gridSpan w:val="2"/>
          </w:tcPr>
          <w:p w14:paraId="7DFC53EA"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42C29D3" w14:textId="77777777" w:rsidR="006F28C4" w:rsidRDefault="008244C4" w:rsidP="00A17BE1">
            <w:pPr>
              <w:ind w:leftChars="100" w:left="210"/>
              <w:jc w:val="left"/>
            </w:pPr>
            <w:r w:rsidRPr="00507AE7">
              <w:rPr>
                <w:rFonts w:ascii="ＭＳ Ｐ明朝" w:eastAsia="ＭＳ Ｐ明朝" w:hAnsi="ＭＳ Ｐ明朝"/>
                <w:sz w:val="20"/>
                <w:szCs w:val="20"/>
              </w:rPr>
              <w:t>This medicine is synthetic adrenal corticosteroid. It suppresses inflammation of the nasal mucosa to reduce the severity and frequency of nasal symptoms (sneeze, nasal discharge, nasal congestion).</w:t>
            </w:r>
          </w:p>
          <w:p w14:paraId="3D4D5A32" w14:textId="77777777" w:rsidR="008244C4" w:rsidRPr="00507AE7" w:rsidRDefault="008244C4" w:rsidP="00A17BE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allergic/vasomotor rhinitis.</w:t>
            </w:r>
          </w:p>
        </w:tc>
      </w:tr>
      <w:tr w:rsidR="008244C4" w14:paraId="47710220" w14:textId="77777777" w:rsidTr="00F522D5">
        <w:tc>
          <w:tcPr>
            <w:tcW w:w="9968" w:type="dxa"/>
            <w:gridSpan w:val="2"/>
          </w:tcPr>
          <w:p w14:paraId="5880C79D"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5F76B623" w14:textId="77777777" w:rsidR="006F28C4"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68365054" w14:textId="77777777" w:rsidR="006F28C4" w:rsidRDefault="008244C4" w:rsidP="00105DF2">
            <w:pPr>
              <w:ind w:leftChars="150" w:left="315"/>
              <w:jc w:val="left"/>
            </w:pPr>
            <w:r w:rsidRPr="00507AE7">
              <w:rPr>
                <w:rFonts w:ascii="ＭＳ Ｐ明朝" w:eastAsia="ＭＳ Ｐ明朝" w:hAnsi="ＭＳ Ｐ明朝"/>
                <w:sz w:val="20"/>
                <w:szCs w:val="20"/>
              </w:rPr>
              <w:t>If you have infection, systemic mycoses, tuberculous disease, hypertension, diabetic mellitus or recurrent epistaxis.</w:t>
            </w:r>
          </w:p>
          <w:p w14:paraId="06B48AC6" w14:textId="77777777" w:rsidR="006F28C4"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73C82C1"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F5189" w14:paraId="41B68B38" w14:textId="77777777" w:rsidTr="00F522D5">
        <w:trPr>
          <w:trHeight w:val="740"/>
        </w:trPr>
        <w:tc>
          <w:tcPr>
            <w:tcW w:w="9968" w:type="dxa"/>
            <w:gridSpan w:val="2"/>
          </w:tcPr>
          <w:p w14:paraId="556B6190" w14:textId="77777777" w:rsidR="00DF5189" w:rsidRPr="00244138" w:rsidRDefault="00DF5189"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38AA649" w14:textId="77777777" w:rsidR="00DF5189" w:rsidRDefault="00825D5D" w:rsidP="00A17BE1">
            <w:pPr>
              <w:ind w:leftChars="100" w:left="410" w:hangingChars="100" w:hanging="200"/>
              <w:jc w:val="left"/>
              <w:rPr>
                <w:rFonts w:ascii="ＭＳ Ｐ明朝" w:eastAsia="ＭＳ Ｐ明朝" w:hAnsi="ＭＳ Ｐ明朝"/>
                <w:sz w:val="20"/>
                <w:szCs w:val="20"/>
              </w:rPr>
            </w:pPr>
            <w:r w:rsidRPr="00825D5D">
              <w:rPr>
                <w:rFonts w:ascii="ＭＳ Ｐゴシック" w:eastAsia="ＭＳ Ｐゴシック" w:hAnsi="ＭＳ Ｐゴシック" w:cs="游ゴシック Light" w:hint="eastAsia"/>
                <w:sz w:val="20"/>
                <w:szCs w:val="20"/>
              </w:rPr>
              <w:t>・</w:t>
            </w:r>
            <w:r w:rsidR="00E1056F" w:rsidRPr="001F6018">
              <w:rPr>
                <w:rFonts w:asciiTheme="majorHAnsi" w:eastAsiaTheme="majorEastAsia" w:hAnsiTheme="majorHAnsi" w:cs="游ゴシック Light"/>
                <w:sz w:val="20"/>
                <w:szCs w:val="20"/>
              </w:rPr>
              <w:t>Your dosing schedule prescribed by your doctor is</w:t>
            </w:r>
            <w:r w:rsidR="003171FA">
              <w:rPr>
                <w:rFonts w:asciiTheme="majorHAnsi" w:eastAsiaTheme="majorEastAsia" w:hAnsiTheme="majorHAnsi" w:cs="游ゴシック Light"/>
                <w:sz w:val="20"/>
                <w:szCs w:val="20"/>
              </w:rPr>
              <w:t>((</w:t>
            </w:r>
            <w:r w:rsidR="003171FA">
              <w:rPr>
                <w:rFonts w:asciiTheme="majorHAnsi" w:eastAsiaTheme="majorEastAsia" w:hAnsiTheme="majorHAnsi" w:cs="游ゴシック Light"/>
                <w:b/>
                <w:sz w:val="20"/>
                <w:szCs w:val="20"/>
              </w:rPr>
              <w:t xml:space="preserve">   </w:t>
            </w:r>
            <w:r w:rsidR="00E1056F">
              <w:rPr>
                <w:rFonts w:asciiTheme="majorHAnsi" w:eastAsiaTheme="majorEastAsia" w:hAnsiTheme="majorHAnsi" w:cs="游ゴシック Light"/>
                <w:b/>
                <w:sz w:val="20"/>
                <w:szCs w:val="20"/>
              </w:rPr>
              <w:t xml:space="preserve">     </w:t>
            </w:r>
            <w:r w:rsidR="00DD4F40">
              <w:rPr>
                <w:rFonts w:asciiTheme="majorHAnsi" w:eastAsiaTheme="majorEastAsia" w:hAnsiTheme="majorHAnsi" w:cs="游ゴシック Light"/>
                <w:b/>
                <w:sz w:val="20"/>
                <w:szCs w:val="20"/>
              </w:rPr>
              <w:t xml:space="preserve">    </w:t>
            </w:r>
            <w:r w:rsidR="00E1056F" w:rsidRPr="00DD4F40">
              <w:rPr>
                <w:rFonts w:ascii="ＭＳ Ｐ明朝" w:eastAsia="ＭＳ Ｐ明朝" w:hAnsi="ＭＳ Ｐ明朝"/>
                <w:sz w:val="20"/>
                <w:szCs w:val="20"/>
              </w:rPr>
              <w:t>to be written by a healthcare professional</w:t>
            </w:r>
            <w:r w:rsidR="003171FA">
              <w:rPr>
                <w:rFonts w:asciiTheme="majorHAnsi" w:eastAsiaTheme="majorEastAsia" w:hAnsiTheme="majorHAnsi" w:cs="游ゴシック Light"/>
                <w:sz w:val="20"/>
                <w:szCs w:val="20"/>
              </w:rPr>
              <w:t>))</w:t>
            </w:r>
          </w:p>
          <w:p w14:paraId="4919F13F" w14:textId="77777777" w:rsidR="006F28C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Before use, blow your nose to help open the nasal passages, and shake the bottle well.</w:t>
            </w:r>
          </w:p>
          <w:p w14:paraId="0348D69B" w14:textId="77777777" w:rsidR="006F28C4" w:rsidRDefault="00DF5189" w:rsidP="00105DF2">
            <w:pPr>
              <w:ind w:leftChars="150" w:left="315"/>
              <w:jc w:val="left"/>
            </w:pP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In general, spray 1 puff (100 mcg of the active ingredient) at a time into both nasal cavities, 4 times a day. The dose may be adjusted according to your age, body weight and symptoms. However, the maximum daily dose is 16 puffs.</w:t>
            </w:r>
          </w:p>
          <w:p w14:paraId="1C5DAE2F" w14:textId="77777777" w:rsidR="006F28C4" w:rsidRDefault="00DF5189" w:rsidP="00105DF2">
            <w:pPr>
              <w:ind w:leftChars="150" w:left="315"/>
              <w:jc w:val="left"/>
            </w:pPr>
            <w:r w:rsidRPr="00507AE7">
              <w:rPr>
                <w:rFonts w:ascii="ＭＳ Ｐ明朝" w:eastAsia="ＭＳ Ｐ明朝" w:hAnsi="ＭＳ Ｐ明朝"/>
                <w:sz w:val="20"/>
                <w:szCs w:val="20"/>
                <w:u w:val="single"/>
              </w:rPr>
              <w:t>For children</w:t>
            </w:r>
            <w:r w:rsidRPr="00507AE7">
              <w:rPr>
                <w:rFonts w:ascii="ＭＳ Ｐ明朝" w:eastAsia="ＭＳ Ｐ明朝" w:hAnsi="ＭＳ Ｐ明朝"/>
                <w:sz w:val="20"/>
                <w:szCs w:val="20"/>
              </w:rPr>
              <w:t>: In general, spray 1 puff (100 mcg of the active ingredient) at a time into both nasal cavities, twice a day. The dose may be adjusted according to your age, body weight and symptoms. However, the maximum daily dose is 8 puffs.</w:t>
            </w:r>
          </w:p>
          <w:p w14:paraId="50F00B8E" w14:textId="77777777" w:rsidR="006F28C4"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23F82632" w14:textId="77777777" w:rsidR="006F28C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Read the instruction leaflet "how to use nasal metered-dose inhaler" attached to the product thoroughly before using this medicine.</w:t>
            </w:r>
          </w:p>
          <w:p w14:paraId="01DE1D51" w14:textId="77777777" w:rsidR="006F28C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Shake the bottle well before use.</w:t>
            </w:r>
          </w:p>
          <w:p w14:paraId="4117550A" w14:textId="77777777" w:rsidR="006F28C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Never use a pin to prick the tip of the nozzle. It will damage the nozzle and the spray would not work.</w:t>
            </w:r>
          </w:p>
          <w:p w14:paraId="37262558" w14:textId="77777777" w:rsidR="006F28C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use the missed dose as soon as possible. However, if it is almost time for the next dose, skip the missed dose and continue your regular dosing schedule. You should not use two doses at one time.</w:t>
            </w:r>
          </w:p>
          <w:p w14:paraId="4D73811A" w14:textId="77777777" w:rsidR="006F28C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632C9E02" w14:textId="77777777" w:rsidR="00DF5189"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8244C4" w14:paraId="28B49EC9" w14:textId="77777777" w:rsidTr="00F522D5">
        <w:tc>
          <w:tcPr>
            <w:tcW w:w="9968" w:type="dxa"/>
            <w:gridSpan w:val="2"/>
          </w:tcPr>
          <w:p w14:paraId="1307AAAE"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82B85B1"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p>
        </w:tc>
      </w:tr>
      <w:tr w:rsidR="008244C4" w14:paraId="736C5332" w14:textId="77777777" w:rsidTr="00F522D5">
        <w:tc>
          <w:tcPr>
            <w:tcW w:w="9968" w:type="dxa"/>
            <w:gridSpan w:val="2"/>
          </w:tcPr>
          <w:p w14:paraId="343C4370"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6F3DEEE" w14:textId="77777777" w:rsidR="008244C4" w:rsidRPr="00507AE7" w:rsidRDefault="008244C4" w:rsidP="00A17BE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erythema, itch, edema, hives, nasal symptoms (irritating sensation, itch, feeling of dryness, discomfort feeling), nasal bleeding and infections. If any of these symptoms occur, consult with your doctor or pharmacist.</w:t>
            </w:r>
          </w:p>
          <w:p w14:paraId="54BC0FA0" w14:textId="77777777" w:rsidR="008244C4" w:rsidRPr="00244138" w:rsidRDefault="008244C4" w:rsidP="00A17BE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DB04BAF"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sensitive to light, foggy vision, eye pain [high fluid pressure in the eye]</w:t>
            </w:r>
          </w:p>
          <w:p w14:paraId="7F545B40"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severe eye pain, acute reduction in visual acuity, nausea [glaucoma]</w:t>
            </w:r>
          </w:p>
          <w:p w14:paraId="623DAEEB" w14:textId="77777777" w:rsidR="008244C4" w:rsidRPr="00244138" w:rsidRDefault="008244C4" w:rsidP="00A17BE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8244C4" w14:paraId="7F349A9A" w14:textId="77777777" w:rsidTr="00F522D5">
        <w:tc>
          <w:tcPr>
            <w:tcW w:w="9968" w:type="dxa"/>
            <w:gridSpan w:val="2"/>
          </w:tcPr>
          <w:p w14:paraId="1DC09F99" w14:textId="77777777" w:rsidR="008244C4" w:rsidRPr="00244138" w:rsidRDefault="008244C4" w:rsidP="00A17B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01B782EF" w14:textId="77777777" w:rsidR="006F28C4"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7826AFD6"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8244C4" w14:paraId="35D824A6" w14:textId="77777777" w:rsidTr="00B04287">
        <w:trPr>
          <w:trHeight w:val="643"/>
        </w:trPr>
        <w:tc>
          <w:tcPr>
            <w:tcW w:w="9968" w:type="dxa"/>
            <w:gridSpan w:val="2"/>
          </w:tcPr>
          <w:p w14:paraId="201C1270" w14:textId="77777777" w:rsidR="008244C4" w:rsidRDefault="008244C4" w:rsidP="00A17BE1">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FFC1C57" w14:textId="77777777" w:rsidR="008244C4" w:rsidRPr="007D422F" w:rsidRDefault="008244C4" w:rsidP="00A94B46">
            <w:pPr>
              <w:rPr>
                <w:rFonts w:asciiTheme="majorEastAsia" w:eastAsiaTheme="majorEastAsia" w:hAnsiTheme="majorEastAsia"/>
                <w:sz w:val="20"/>
                <w:szCs w:val="20"/>
              </w:rPr>
            </w:pPr>
          </w:p>
        </w:tc>
      </w:tr>
    </w:tbl>
    <w:p w14:paraId="4002D5A3" w14:textId="77777777" w:rsidR="003620A0" w:rsidRPr="00F355BE" w:rsidRDefault="008244C4" w:rsidP="00A17BE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r w:rsidR="00B04287" w:rsidRPr="00B04287">
        <w:rPr>
          <w:rFonts w:ascii="Times New Roman" w:hAnsi="Times New Roman"/>
          <w:sz w:val="14"/>
          <w:szCs w:val="16"/>
        </w:rPr>
        <w:t xml:space="preserve"> </w:t>
      </w:r>
    </w:p>
    <w:sectPr w:rsidR="003620A0" w:rsidRPr="00F355BE" w:rsidSect="00B04287">
      <w:footerReference w:type="default" r:id="rId8"/>
      <w:pgSz w:w="11906" w:h="16838" w:code="9"/>
      <w:pgMar w:top="567" w:right="1077" w:bottom="680" w:left="1077"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81CB2" w14:textId="77777777" w:rsidR="00763169" w:rsidRDefault="00763169" w:rsidP="005676BB">
      <w:r>
        <w:separator/>
      </w:r>
    </w:p>
  </w:endnote>
  <w:endnote w:type="continuationSeparator" w:id="0">
    <w:p w14:paraId="55A8257C" w14:textId="77777777" w:rsidR="00763169" w:rsidRDefault="00763169"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596C" w14:textId="77777777" w:rsidR="005676BB" w:rsidRDefault="00000000">
    <w:pPr>
      <w:pStyle w:val="a6"/>
      <w:jc w:val="center"/>
    </w:pPr>
    <w:r>
      <w:rPr>
        <w:noProof/>
      </w:rPr>
      <w:pict w14:anchorId="6BB36FA4">
        <v:shapetype id="_x0000_t202" coordsize="21600,21600" o:spt="202" path="m,l,21600r21600,l21600,xe">
          <v:stroke joinstyle="miter"/>
          <v:path gradientshapeok="t" o:connecttype="rect"/>
        </v:shapetype>
        <v:shape id="テキスト ボックス 1" o:spid="_x0000_s1025" type="#_x0000_t202" style="position:absolute;left:0;text-align:left;margin-left:410.1pt;margin-top:-2.35pt;width:77.55pt;height:16.8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" fillcolor="white [3201]" stroked="f" strokeweight=".5pt">
          <v:textbox>
            <w:txbxContent>
              <w:p w14:paraId="3412AE43" w14:textId="77777777" w:rsidR="00B04287" w:rsidRPr="002B3649" w:rsidRDefault="00B04287" w:rsidP="00B04287">
                <w:pPr>
                  <w:jc w:val="center"/>
                  <w:rPr>
                    <w:rFonts w:ascii="Times New Roman" w:hAnsi="Times New Roman"/>
                    <w:sz w:val="14"/>
                    <w:szCs w:val="16"/>
                  </w:rPr>
                </w:pPr>
                <w:r>
                  <w:rPr>
                    <w:rFonts w:ascii="Times New Roman" w:hAnsi="Times New Roman"/>
                    <w:sz w:val="14"/>
                    <w:szCs w:val="16"/>
                  </w:rPr>
                  <w:t>BMZ</w:t>
                </w:r>
                <w:r w:rsidRPr="002B3649">
                  <w:rPr>
                    <w:rFonts w:ascii="Times New Roman" w:hAnsi="Times New Roman"/>
                    <w:sz w:val="14"/>
                    <w:szCs w:val="16"/>
                  </w:rPr>
                  <w:t xml:space="preserve"> 1-0</w:t>
                </w:r>
                <w:r>
                  <w:rPr>
                    <w:rFonts w:ascii="Times New Roman" w:hAnsi="Times New Roman"/>
                    <w:sz w:val="14"/>
                    <w:szCs w:val="16"/>
                  </w:rPr>
                  <w:t>4</w:t>
                </w:r>
                <w:r w:rsidRPr="002B3649">
                  <w:rPr>
                    <w:rFonts w:ascii="Times New Roman" w:hAnsi="Times New Roman"/>
                    <w:sz w:val="14"/>
                    <w:szCs w:val="16"/>
                  </w:rPr>
                  <w:t>.1_202</w:t>
                </w:r>
                <w:r>
                  <w:rPr>
                    <w:rFonts w:ascii="Times New Roman" w:hAnsi="Times New Roman"/>
                    <w:sz w:val="14"/>
                    <w:szCs w:val="16"/>
                  </w:rPr>
                  <w:t>410</w:t>
                </w:r>
              </w:p>
            </w:txbxContent>
          </v:textbox>
          <w10:wrap type="square" anchorx="margin"/>
        </v:shape>
      </w:pict>
    </w:r>
    <w:r w:rsidR="005676BB">
      <w:rPr>
        <w:lang w:val="ja-JP"/>
      </w:rPr>
      <w:t xml:space="preserve"> </w:t>
    </w:r>
    <w:r w:rsidR="005676BB">
      <w:rPr>
        <w:b/>
      </w:rPr>
      <w:fldChar w:fldCharType="begin"/>
    </w:r>
    <w:r w:rsidR="005676BB">
      <w:rPr>
        <w:b/>
      </w:rPr>
      <w:instrText>PAGE</w:instrText>
    </w:r>
    <w:r w:rsidR="005676BB">
      <w:rPr>
        <w:b/>
      </w:rPr>
      <w:fldChar w:fldCharType="separate"/>
    </w:r>
    <w:r w:rsidR="003171FA">
      <w:rPr>
        <w:b/>
        <w:noProof/>
      </w:rPr>
      <w:t>2</w:t>
    </w:r>
    <w:r w:rsidR="005676BB">
      <w:rPr>
        <w:b/>
      </w:rPr>
      <w:fldChar w:fldCharType="end"/>
    </w:r>
    <w:r w:rsidR="005676BB">
      <w:rPr>
        <w:lang w:val="ja-JP"/>
      </w:rPr>
      <w:t xml:space="preserve"> / </w:t>
    </w:r>
    <w:r w:rsidR="005676BB">
      <w:rPr>
        <w:b/>
      </w:rPr>
      <w:fldChar w:fldCharType="begin"/>
    </w:r>
    <w:r w:rsidR="005676BB">
      <w:rPr>
        <w:b/>
      </w:rPr>
      <w:instrText>NUMPAGES</w:instrText>
    </w:r>
    <w:r w:rsidR="005676BB">
      <w:rPr>
        <w:b/>
      </w:rPr>
      <w:fldChar w:fldCharType="separate"/>
    </w:r>
    <w:r w:rsidR="003171FA">
      <w:rPr>
        <w:b/>
        <w:noProof/>
      </w:rPr>
      <w:t>2</w:t>
    </w:r>
    <w:r w:rsidR="005676B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C2F4" w14:textId="77777777" w:rsidR="00763169" w:rsidRDefault="00763169" w:rsidP="005676BB">
      <w:r>
        <w:separator/>
      </w:r>
    </w:p>
  </w:footnote>
  <w:footnote w:type="continuationSeparator" w:id="0">
    <w:p w14:paraId="369FB406" w14:textId="77777777" w:rsidR="00763169" w:rsidRDefault="00763169"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0838AB"/>
    <w:rsid w:val="00095F6A"/>
    <w:rsid w:val="000E11AA"/>
    <w:rsid w:val="00105DF2"/>
    <w:rsid w:val="00126660"/>
    <w:rsid w:val="001B5773"/>
    <w:rsid w:val="001D7781"/>
    <w:rsid w:val="001E3A62"/>
    <w:rsid w:val="001F6018"/>
    <w:rsid w:val="002209A5"/>
    <w:rsid w:val="0022547F"/>
    <w:rsid w:val="00244138"/>
    <w:rsid w:val="002A4A81"/>
    <w:rsid w:val="002B3649"/>
    <w:rsid w:val="003171FA"/>
    <w:rsid w:val="003620A0"/>
    <w:rsid w:val="00427ACC"/>
    <w:rsid w:val="00507AE7"/>
    <w:rsid w:val="005676BB"/>
    <w:rsid w:val="006620C4"/>
    <w:rsid w:val="006A0D5E"/>
    <w:rsid w:val="006A40B0"/>
    <w:rsid w:val="006C3493"/>
    <w:rsid w:val="006F28C4"/>
    <w:rsid w:val="007060A6"/>
    <w:rsid w:val="00763169"/>
    <w:rsid w:val="007B7400"/>
    <w:rsid w:val="007D422F"/>
    <w:rsid w:val="0081340E"/>
    <w:rsid w:val="008244C4"/>
    <w:rsid w:val="00825D5D"/>
    <w:rsid w:val="008573DE"/>
    <w:rsid w:val="008A4197"/>
    <w:rsid w:val="00906546"/>
    <w:rsid w:val="009316AA"/>
    <w:rsid w:val="009F0005"/>
    <w:rsid w:val="009F5476"/>
    <w:rsid w:val="00A17BE1"/>
    <w:rsid w:val="00A94B46"/>
    <w:rsid w:val="00AA5AB5"/>
    <w:rsid w:val="00B04287"/>
    <w:rsid w:val="00C66E39"/>
    <w:rsid w:val="00CA5D97"/>
    <w:rsid w:val="00CB2AD2"/>
    <w:rsid w:val="00DA1B6F"/>
    <w:rsid w:val="00DD4F40"/>
    <w:rsid w:val="00DF5189"/>
    <w:rsid w:val="00E0621B"/>
    <w:rsid w:val="00E1056F"/>
    <w:rsid w:val="00E7192E"/>
    <w:rsid w:val="00EA6A65"/>
    <w:rsid w:val="00F355BE"/>
    <w:rsid w:val="00F522D5"/>
    <w:rsid w:val="00FE086D"/>
    <w:rsid w:val="00FE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501E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78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5989-C3D6-4460-B645-25F75A72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2024-10-28T07:45:00Z</dcterms:created>
  <dcterms:modified xsi:type="dcterms:W3CDTF">2024-10-28T07:45:00Z</dcterms:modified>
</cp:coreProperties>
</file>